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44" w:rsidRDefault="00991F44">
      <w:pPr>
        <w:pStyle w:val="Textoindependiente"/>
        <w:ind w:left="3797"/>
        <w:rPr>
          <w:rFonts w:ascii="Times New Roman"/>
          <w:sz w:val="20"/>
        </w:rPr>
      </w:pPr>
      <w:bookmarkStart w:id="0" w:name="_GoBack"/>
      <w:bookmarkEnd w:id="0"/>
    </w:p>
    <w:p w:rsidR="00991F44" w:rsidRDefault="00991F44">
      <w:pPr>
        <w:pStyle w:val="Textoindependiente"/>
        <w:spacing w:before="8"/>
        <w:rPr>
          <w:rFonts w:ascii="Times New Roman"/>
          <w:sz w:val="11"/>
        </w:rPr>
      </w:pPr>
    </w:p>
    <w:p w:rsidR="00991F44" w:rsidRDefault="004F720D">
      <w:pPr>
        <w:spacing w:before="69" w:after="59"/>
        <w:ind w:left="219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6.2pt;margin-top:19.1pt;width:110.9pt;height:12pt;z-index:-251658752;mso-position-horizontal-relative:page" filled="f" stroked="f">
            <v:textbox inset="0,0,0,0">
              <w:txbxContent>
                <w:p w:rsidR="00991F44" w:rsidRDefault="00B1404C">
                  <w:pPr>
                    <w:pStyle w:val="Textoindependiente"/>
                    <w:spacing w:line="240" w:lineRule="exact"/>
                  </w:pPr>
                  <w:r>
                    <w:rPr>
                      <w:color w:val="C34B1F"/>
                    </w:rPr>
                    <w:t>(Platts NWE: PJAAV00)</w:t>
                  </w:r>
                </w:p>
              </w:txbxContent>
            </v:textbox>
            <w10:wrap anchorx="page"/>
          </v:shape>
        </w:pict>
      </w:r>
      <w:r w:rsidR="00B1404C">
        <w:rPr>
          <w:b/>
          <w:color w:val="231F1F"/>
          <w:sz w:val="16"/>
        </w:rPr>
        <w:t>Annex A</w:t>
      </w:r>
    </w:p>
    <w:tbl>
      <w:tblPr>
        <w:tblStyle w:val="TableNormal"/>
        <w:tblW w:w="0" w:type="auto"/>
        <w:tblInd w:w="10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2206"/>
        <w:gridCol w:w="1381"/>
      </w:tblGrid>
      <w:tr w:rsidR="00991F44" w:rsidTr="00DB3D54">
        <w:trPr>
          <w:trHeight w:val="280"/>
        </w:trPr>
        <w:tc>
          <w:tcPr>
            <w:tcW w:w="5384" w:type="dxa"/>
            <w:tcBorders>
              <w:right w:val="nil"/>
            </w:tcBorders>
            <w:shd w:val="clear" w:color="auto" w:fill="F9CDAA"/>
          </w:tcPr>
          <w:p w:rsidR="00991F44" w:rsidRDefault="00B1404C">
            <w:pPr>
              <w:pStyle w:val="TableParagraph"/>
              <w:spacing w:line="240" w:lineRule="auto"/>
              <w:ind w:left="2585"/>
              <w:rPr>
                <w:b/>
                <w:sz w:val="24"/>
              </w:rPr>
            </w:pPr>
            <w:r>
              <w:rPr>
                <w:b/>
                <w:color w:val="C34B1F"/>
                <w:sz w:val="24"/>
              </w:rPr>
              <w:t>Specifications Type JET A1 -</w:t>
            </w:r>
          </w:p>
        </w:tc>
        <w:tc>
          <w:tcPr>
            <w:tcW w:w="2206" w:type="dxa"/>
            <w:tcBorders>
              <w:left w:val="nil"/>
              <w:right w:val="nil"/>
            </w:tcBorders>
            <w:shd w:val="clear" w:color="auto" w:fill="F9BF8E"/>
          </w:tcPr>
          <w:p w:rsidR="00991F44" w:rsidRDefault="00B1404C">
            <w:pPr>
              <w:pStyle w:val="TableParagraph"/>
              <w:tabs>
                <w:tab w:val="left" w:pos="2170"/>
              </w:tabs>
              <w:spacing w:line="240" w:lineRule="auto"/>
              <w:ind w:left="57"/>
              <w:rPr>
                <w:rFonts w:ascii="Times New Roman"/>
                <w:sz w:val="24"/>
              </w:rPr>
            </w:pPr>
            <w:r>
              <w:rPr>
                <w:b/>
                <w:color w:val="C34B1F"/>
                <w:sz w:val="24"/>
                <w:u w:val="single" w:color="C34B1F"/>
              </w:rPr>
              <w:t xml:space="preserve"> </w:t>
            </w:r>
            <w:r>
              <w:rPr>
                <w:rFonts w:ascii="Times New Roman"/>
                <w:color w:val="C34B1F"/>
                <w:sz w:val="24"/>
                <w:u w:val="single" w:color="C34B1F"/>
              </w:rPr>
              <w:tab/>
            </w:r>
          </w:p>
        </w:tc>
        <w:tc>
          <w:tcPr>
            <w:tcW w:w="1381" w:type="dxa"/>
            <w:tcBorders>
              <w:left w:val="nil"/>
            </w:tcBorders>
            <w:shd w:val="clear" w:color="auto" w:fill="F9CDAA"/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991F44" w:rsidRDefault="00991F44">
      <w:pPr>
        <w:pStyle w:val="Textoindependiente"/>
        <w:rPr>
          <w:b/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128"/>
        <w:gridCol w:w="3902"/>
      </w:tblGrid>
      <w:tr w:rsidR="00991F44" w:rsidTr="00DB3D54">
        <w:trPr>
          <w:trHeight w:val="180"/>
        </w:trPr>
        <w:tc>
          <w:tcPr>
            <w:tcW w:w="2941" w:type="dxa"/>
          </w:tcPr>
          <w:p w:rsidR="00991F44" w:rsidRDefault="00B1404C">
            <w:pPr>
              <w:pStyle w:val="TableParagraph"/>
              <w:spacing w:line="194" w:lineRule="exact"/>
              <w:ind w:left="998" w:right="998"/>
              <w:jc w:val="center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COMPONENT</w:t>
            </w:r>
          </w:p>
        </w:tc>
        <w:tc>
          <w:tcPr>
            <w:tcW w:w="2128" w:type="dxa"/>
          </w:tcPr>
          <w:p w:rsidR="00991F44" w:rsidRDefault="00B1404C">
            <w:pPr>
              <w:pStyle w:val="TableParagraph"/>
              <w:spacing w:line="194" w:lineRule="exact"/>
              <w:ind w:left="561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UNIT Min/Max</w:t>
            </w:r>
          </w:p>
        </w:tc>
        <w:tc>
          <w:tcPr>
            <w:tcW w:w="3902" w:type="dxa"/>
          </w:tcPr>
          <w:p w:rsidR="00991F44" w:rsidRDefault="00B1404C">
            <w:pPr>
              <w:pStyle w:val="TableParagraph"/>
              <w:spacing w:line="194" w:lineRule="exact"/>
              <w:ind w:left="1467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Test Methods  ASTM / IP / GOST</w:t>
            </w:r>
          </w:p>
        </w:tc>
      </w:tr>
    </w:tbl>
    <w:p w:rsidR="00991F44" w:rsidRDefault="00991F44">
      <w:pPr>
        <w:pStyle w:val="Textoindependiente"/>
        <w:rPr>
          <w:b/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128"/>
        <w:gridCol w:w="3902"/>
      </w:tblGrid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COMPOSITION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Appearance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C&amp;B (1)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Visual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231F1F"/>
                <w:sz w:val="16"/>
              </w:rPr>
              <w:t>Colour</w:t>
            </w:r>
            <w:proofErr w:type="spellEnd"/>
            <w:r>
              <w:rPr>
                <w:color w:val="231F1F"/>
                <w:sz w:val="16"/>
              </w:rPr>
              <w:t xml:space="preserve">, </w:t>
            </w:r>
            <w:proofErr w:type="spellStart"/>
            <w:r>
              <w:rPr>
                <w:color w:val="231F1F"/>
                <w:sz w:val="16"/>
              </w:rPr>
              <w:t>Saybolt</w:t>
            </w:r>
            <w:proofErr w:type="spellEnd"/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Report (2)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D156, D6045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Acidity, Total (mg KOH/g)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0.10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D3242, IP 354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Aromatics (vol %)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25.0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D1319, IP 156, GOST R 52063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Sulphur, Total (</w:t>
            </w:r>
            <w:proofErr w:type="spellStart"/>
            <w:r>
              <w:rPr>
                <w:color w:val="231F1F"/>
                <w:sz w:val="16"/>
              </w:rPr>
              <w:t>wt</w:t>
            </w:r>
            <w:proofErr w:type="spellEnd"/>
            <w:r>
              <w:rPr>
                <w:color w:val="231F1F"/>
                <w:sz w:val="16"/>
              </w:rPr>
              <w:t xml:space="preserve"> %)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0.25,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D1266, D1552, D2622, D4294, D5453, IP107, IP 243, IP 336, IP 373, IP 447,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GOST R 51947, GOST R 51859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Sulphur, Mercaptan (</w:t>
            </w:r>
            <w:proofErr w:type="spellStart"/>
            <w:r>
              <w:rPr>
                <w:color w:val="231F1F"/>
                <w:sz w:val="16"/>
              </w:rPr>
              <w:t>wt</w:t>
            </w:r>
            <w:proofErr w:type="spellEnd"/>
            <w:r>
              <w:rPr>
                <w:color w:val="231F1F"/>
                <w:sz w:val="16"/>
              </w:rPr>
              <w:t xml:space="preserve"> %)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0.0030 (3)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D3227, IP 342, GOST R 52030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OR Doctor Test</w:t>
            </w:r>
          </w:p>
        </w:tc>
        <w:tc>
          <w:tcPr>
            <w:tcW w:w="2128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Negative (3)</w:t>
            </w:r>
          </w:p>
        </w:tc>
        <w:tc>
          <w:tcPr>
            <w:tcW w:w="3902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D4952, IP 30</w:t>
            </w:r>
          </w:p>
        </w:tc>
      </w:tr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VOLATILITY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Distillation Temperature: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D86, IP 123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10% Recovery (°C)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205.0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50% Recovery (°C)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Report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90% Recovery (°C)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Report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Final BP (°C)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300.0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Distillation Residue (vol %)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1.5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Distillation Loss (vol %)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1.5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Flash Point (°C)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Min. 38.0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D56 (4), D3828, IP170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Density @ 15°C (kg/m3)</w:t>
            </w:r>
          </w:p>
        </w:tc>
        <w:tc>
          <w:tcPr>
            <w:tcW w:w="2128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775.0 - 840.0</w:t>
            </w:r>
          </w:p>
        </w:tc>
        <w:tc>
          <w:tcPr>
            <w:tcW w:w="3902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D1298, D4052, IP 160, IP 365, GOST R 51069</w:t>
            </w:r>
          </w:p>
        </w:tc>
      </w:tr>
      <w:tr w:rsidR="00991F44" w:rsidTr="00DB3D54">
        <w:trPr>
          <w:trHeight w:val="580"/>
        </w:trPr>
        <w:tc>
          <w:tcPr>
            <w:tcW w:w="2941" w:type="dxa"/>
          </w:tcPr>
          <w:p w:rsidR="00991F44" w:rsidRDefault="00B1404C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FLUIDITY</w:t>
            </w:r>
          </w:p>
          <w:p w:rsidR="00991F44" w:rsidRDefault="00B1404C">
            <w:pPr>
              <w:pStyle w:val="TableParagraph"/>
              <w:spacing w:line="240" w:lineRule="auto"/>
              <w:ind w:right="1347"/>
              <w:rPr>
                <w:sz w:val="16"/>
              </w:rPr>
            </w:pPr>
            <w:r>
              <w:rPr>
                <w:color w:val="231F1F"/>
                <w:sz w:val="16"/>
              </w:rPr>
              <w:t>Freezing Point (°C) Viscosity @ -20°C (</w:t>
            </w:r>
            <w:proofErr w:type="spellStart"/>
            <w:r>
              <w:rPr>
                <w:color w:val="231F1F"/>
                <w:sz w:val="16"/>
              </w:rPr>
              <w:t>cSt</w:t>
            </w:r>
            <w:proofErr w:type="spellEnd"/>
            <w:r>
              <w:rPr>
                <w:color w:val="231F1F"/>
                <w:sz w:val="16"/>
              </w:rPr>
              <w:t>)</w:t>
            </w:r>
          </w:p>
        </w:tc>
        <w:tc>
          <w:tcPr>
            <w:tcW w:w="2128" w:type="dxa"/>
          </w:tcPr>
          <w:p w:rsidR="00991F44" w:rsidRDefault="00991F44">
            <w:pPr>
              <w:pStyle w:val="TableParagraph"/>
              <w:spacing w:before="9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Max. -47.0 (5)</w:t>
            </w:r>
          </w:p>
          <w:p w:rsidR="00991F44" w:rsidRDefault="00B1404C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Max. 8</w:t>
            </w:r>
          </w:p>
        </w:tc>
        <w:tc>
          <w:tcPr>
            <w:tcW w:w="3902" w:type="dxa"/>
          </w:tcPr>
          <w:p w:rsidR="00991F44" w:rsidRDefault="00991F44">
            <w:pPr>
              <w:pStyle w:val="TableParagraph"/>
              <w:spacing w:before="9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D2386, D5972, D 7153, IP 16, IP 435, IP 529</w:t>
            </w:r>
          </w:p>
          <w:p w:rsidR="00991F44" w:rsidRDefault="00B1404C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D445, IP 71</w:t>
            </w:r>
          </w:p>
        </w:tc>
      </w:tr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COMBUSTION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Net Heat of Combustion (MJ/kg)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Min. 42.80 (6)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D3338, D4529, D4809, IP 12, IP 355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Smoke Point (mm)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Min. 25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D1322, IP 57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OR Smoke Point (mm)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Min. 19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D1322, IP57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 xml:space="preserve">AND </w:t>
            </w:r>
            <w:proofErr w:type="spellStart"/>
            <w:r>
              <w:rPr>
                <w:color w:val="231F1F"/>
                <w:sz w:val="16"/>
              </w:rPr>
              <w:t>Naphthalenes</w:t>
            </w:r>
            <w:proofErr w:type="spellEnd"/>
            <w:r>
              <w:rPr>
                <w:color w:val="231F1F"/>
                <w:sz w:val="16"/>
              </w:rPr>
              <w:t xml:space="preserve"> (vol %)</w:t>
            </w:r>
          </w:p>
        </w:tc>
        <w:tc>
          <w:tcPr>
            <w:tcW w:w="2128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3</w:t>
            </w:r>
          </w:p>
        </w:tc>
        <w:tc>
          <w:tcPr>
            <w:tcW w:w="3902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D1840</w:t>
            </w:r>
          </w:p>
        </w:tc>
      </w:tr>
      <w:tr w:rsidR="00991F44" w:rsidTr="00DB3D54">
        <w:trPr>
          <w:trHeight w:val="380"/>
        </w:trPr>
        <w:tc>
          <w:tcPr>
            <w:tcW w:w="2941" w:type="dxa"/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CORROSION</w:t>
            </w:r>
          </w:p>
          <w:p w:rsidR="00991F44" w:rsidRDefault="00B1404C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Copper Strip (2h @ 100°C)</w:t>
            </w:r>
          </w:p>
        </w:tc>
        <w:tc>
          <w:tcPr>
            <w:tcW w:w="2128" w:type="dxa"/>
          </w:tcPr>
          <w:p w:rsidR="00991F44" w:rsidRDefault="00991F44">
            <w:pPr>
              <w:pStyle w:val="TableParagraph"/>
              <w:spacing w:before="12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Max. No.1</w:t>
            </w:r>
          </w:p>
        </w:tc>
        <w:tc>
          <w:tcPr>
            <w:tcW w:w="3902" w:type="dxa"/>
          </w:tcPr>
          <w:p w:rsidR="00991F44" w:rsidRDefault="00991F44">
            <w:pPr>
              <w:pStyle w:val="TableParagraph"/>
              <w:spacing w:before="12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D130, IP 154</w:t>
            </w:r>
          </w:p>
        </w:tc>
      </w:tr>
      <w:tr w:rsidR="00991F44" w:rsidTr="00DB3D54">
        <w:trPr>
          <w:trHeight w:val="580"/>
        </w:trPr>
        <w:tc>
          <w:tcPr>
            <w:tcW w:w="2941" w:type="dxa"/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THERMAL STABILITY</w:t>
            </w:r>
          </w:p>
          <w:p w:rsidR="00991F44" w:rsidRDefault="00B1404C">
            <w:pPr>
              <w:pStyle w:val="TableParagraph"/>
              <w:spacing w:before="1" w:line="240" w:lineRule="auto"/>
              <w:ind w:right="199"/>
              <w:rPr>
                <w:sz w:val="16"/>
              </w:rPr>
            </w:pPr>
            <w:r>
              <w:rPr>
                <w:color w:val="231F1F"/>
                <w:sz w:val="16"/>
              </w:rPr>
              <w:t>JFTOT 6P @ 260ºC (mm Hg) Tube Rating (Visual)</w:t>
            </w:r>
          </w:p>
        </w:tc>
        <w:tc>
          <w:tcPr>
            <w:tcW w:w="2128" w:type="dxa"/>
          </w:tcPr>
          <w:p w:rsidR="00991F44" w:rsidRDefault="00991F44">
            <w:pPr>
              <w:pStyle w:val="TableParagraph"/>
              <w:spacing w:before="12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25</w:t>
            </w:r>
          </w:p>
          <w:p w:rsidR="00991F44" w:rsidRDefault="00B1404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&lt;3 (7)</w:t>
            </w:r>
          </w:p>
        </w:tc>
        <w:tc>
          <w:tcPr>
            <w:tcW w:w="3902" w:type="dxa"/>
          </w:tcPr>
          <w:p w:rsidR="00991F44" w:rsidRDefault="00991F44">
            <w:pPr>
              <w:pStyle w:val="TableParagraph"/>
              <w:spacing w:before="12" w:line="240" w:lineRule="auto"/>
              <w:ind w:left="0"/>
              <w:rPr>
                <w:b/>
                <w:sz w:val="15"/>
              </w:rPr>
            </w:pPr>
          </w:p>
          <w:p w:rsidR="00991F44" w:rsidRDefault="00B1404C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1F"/>
                <w:sz w:val="16"/>
              </w:rPr>
              <w:t>D3241, IP 123</w:t>
            </w:r>
          </w:p>
        </w:tc>
      </w:tr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CONTAMINANTS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Existent Gum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7 (8)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D381, IP 131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Water Reaction Interface Rating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1b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D1094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MSEP Rating Fuel without SDA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Min. 85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ind w:left="934"/>
              <w:rPr>
                <w:sz w:val="16"/>
              </w:rPr>
            </w:pPr>
            <w:r>
              <w:rPr>
                <w:color w:val="231F1F"/>
                <w:sz w:val="16"/>
              </w:rPr>
              <w:t>Fuel with SDA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Min. 70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Particulates (mg/dm3)</w:t>
            </w:r>
          </w:p>
        </w:tc>
        <w:tc>
          <w:tcPr>
            <w:tcW w:w="2128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1.0 (2)</w:t>
            </w:r>
          </w:p>
        </w:tc>
        <w:tc>
          <w:tcPr>
            <w:tcW w:w="3902" w:type="dxa"/>
            <w:tcBorders>
              <w:top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D5452, IP423</w:t>
            </w:r>
          </w:p>
        </w:tc>
      </w:tr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OTHER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Conductivity (</w:t>
            </w:r>
            <w:proofErr w:type="spellStart"/>
            <w:r>
              <w:rPr>
                <w:color w:val="231F1F"/>
                <w:sz w:val="16"/>
              </w:rPr>
              <w:t>pS</w:t>
            </w:r>
            <w:proofErr w:type="spellEnd"/>
            <w:r>
              <w:rPr>
                <w:color w:val="231F1F"/>
                <w:sz w:val="16"/>
              </w:rPr>
              <w:t>/m)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50-600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D2624, IP 274, GOST 25950</w:t>
            </w: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Without SDA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Max. 10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BOCLE Wear Scar Diameter (mm)</w:t>
            </w:r>
          </w:p>
        </w:tc>
        <w:tc>
          <w:tcPr>
            <w:tcW w:w="2128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Max. 0.85 (9)</w:t>
            </w:r>
          </w:p>
        </w:tc>
        <w:tc>
          <w:tcPr>
            <w:tcW w:w="3902" w:type="dxa"/>
            <w:tcBorders>
              <w:top w:val="nil"/>
            </w:tcBorders>
          </w:tcPr>
          <w:p w:rsidR="00991F44" w:rsidRDefault="00B1404C">
            <w:pPr>
              <w:pStyle w:val="TableParagraph"/>
              <w:rPr>
                <w:sz w:val="16"/>
              </w:rPr>
            </w:pPr>
            <w:r>
              <w:rPr>
                <w:color w:val="231F1F"/>
                <w:sz w:val="16"/>
              </w:rPr>
              <w:t>D5001</w:t>
            </w:r>
          </w:p>
        </w:tc>
      </w:tr>
      <w:tr w:rsidR="00991F44" w:rsidTr="00DB3D54">
        <w:trPr>
          <w:trHeight w:val="200"/>
        </w:trPr>
        <w:tc>
          <w:tcPr>
            <w:tcW w:w="2941" w:type="dxa"/>
            <w:tcBorders>
              <w:bottom w:val="nil"/>
            </w:tcBorders>
          </w:tcPr>
          <w:p w:rsidR="00991F44" w:rsidRDefault="00B140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31F1F"/>
                <w:sz w:val="16"/>
              </w:rPr>
              <w:t>ADDITIVES</w:t>
            </w:r>
          </w:p>
        </w:tc>
        <w:tc>
          <w:tcPr>
            <w:tcW w:w="2128" w:type="dxa"/>
            <w:tcBorders>
              <w:bottom w:val="nil"/>
            </w:tcBorders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vMerge w:val="restart"/>
          </w:tcPr>
          <w:p w:rsidR="00991F44" w:rsidRDefault="00991F4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Antioxidant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Optional (24 mg/L max)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 w:rsidR="00991F44" w:rsidRDefault="00991F44"/>
        </w:tc>
      </w:tr>
      <w:tr w:rsidR="00991F44" w:rsidTr="00DB3D54">
        <w:trPr>
          <w:trHeight w:val="18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Static Dissipator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Optional (10)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 w:rsidR="00991F44" w:rsidRDefault="00991F44"/>
        </w:tc>
      </w:tr>
      <w:tr w:rsidR="00991F44" w:rsidTr="00DB3D54">
        <w:trPr>
          <w:trHeight w:val="160"/>
        </w:trPr>
        <w:tc>
          <w:tcPr>
            <w:tcW w:w="2941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Lubricity Improver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991F44" w:rsidRDefault="00B1404C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231F1F"/>
                <w:sz w:val="16"/>
              </w:rPr>
              <w:t>Optional (11)</w:t>
            </w:r>
          </w:p>
        </w:tc>
        <w:tc>
          <w:tcPr>
            <w:tcW w:w="3902" w:type="dxa"/>
            <w:vMerge/>
            <w:tcBorders>
              <w:top w:val="nil"/>
              <w:bottom w:val="nil"/>
            </w:tcBorders>
          </w:tcPr>
          <w:p w:rsidR="00991F44" w:rsidRDefault="00991F44"/>
        </w:tc>
      </w:tr>
      <w:tr w:rsidR="00B1404C" w:rsidTr="00DB3D54">
        <w:trPr>
          <w:trHeight w:val="160"/>
        </w:trPr>
        <w:tc>
          <w:tcPr>
            <w:tcW w:w="2941" w:type="dxa"/>
            <w:tcBorders>
              <w:top w:val="nil"/>
            </w:tcBorders>
          </w:tcPr>
          <w:p w:rsidR="00B1404C" w:rsidRDefault="00B1404C">
            <w:pPr>
              <w:pStyle w:val="TableParagraph"/>
              <w:spacing w:line="175" w:lineRule="exact"/>
              <w:rPr>
                <w:color w:val="231F1F"/>
                <w:sz w:val="16"/>
              </w:rPr>
            </w:pPr>
          </w:p>
          <w:p w:rsidR="00B1404C" w:rsidRDefault="00B1404C">
            <w:pPr>
              <w:pStyle w:val="TableParagraph"/>
              <w:spacing w:line="175" w:lineRule="exact"/>
              <w:rPr>
                <w:color w:val="231F1F"/>
                <w:sz w:val="1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B1404C" w:rsidRDefault="00B1404C">
            <w:pPr>
              <w:pStyle w:val="TableParagraph"/>
              <w:spacing w:line="175" w:lineRule="exact"/>
              <w:rPr>
                <w:color w:val="231F1F"/>
                <w:sz w:val="16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B1404C" w:rsidRDefault="00B1404C"/>
        </w:tc>
      </w:tr>
    </w:tbl>
    <w:p w:rsidR="00B1404C" w:rsidRDefault="00B1404C">
      <w:pPr>
        <w:pStyle w:val="Textoindependiente"/>
        <w:spacing w:before="5"/>
        <w:rPr>
          <w:b/>
          <w:sz w:val="6"/>
        </w:rPr>
      </w:pPr>
    </w:p>
    <w:p w:rsidR="00B1404C" w:rsidRDefault="00B1404C">
      <w:pPr>
        <w:pStyle w:val="Textoindependiente"/>
        <w:spacing w:before="5"/>
        <w:rPr>
          <w:b/>
          <w:sz w:val="6"/>
        </w:rPr>
      </w:pP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before="13"/>
        <w:ind w:hanging="215"/>
        <w:rPr>
          <w:sz w:val="16"/>
        </w:rPr>
      </w:pPr>
      <w:r>
        <w:rPr>
          <w:color w:val="231F1F"/>
          <w:sz w:val="16"/>
        </w:rPr>
        <w:t>Fuel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should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be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clear,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bright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and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visually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free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from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solid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matter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&amp;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undissolved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water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at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ambient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air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temperature.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before="1" w:line="195" w:lineRule="exact"/>
        <w:ind w:hanging="215"/>
        <w:rPr>
          <w:sz w:val="16"/>
        </w:rPr>
      </w:pPr>
      <w:r>
        <w:rPr>
          <w:color w:val="231F1F"/>
          <w:sz w:val="16"/>
        </w:rPr>
        <w:t>Applies at point of</w:t>
      </w:r>
      <w:r>
        <w:rPr>
          <w:color w:val="231F1F"/>
          <w:spacing w:val="-13"/>
          <w:sz w:val="16"/>
        </w:rPr>
        <w:t xml:space="preserve"> </w:t>
      </w:r>
      <w:r>
        <w:rPr>
          <w:color w:val="231F1F"/>
          <w:sz w:val="16"/>
        </w:rPr>
        <w:t>manufacture.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line="195" w:lineRule="exact"/>
        <w:ind w:hanging="215"/>
        <w:rPr>
          <w:sz w:val="16"/>
        </w:rPr>
      </w:pPr>
      <w:r>
        <w:rPr>
          <w:color w:val="231F1F"/>
          <w:sz w:val="16"/>
        </w:rPr>
        <w:t>In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the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event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of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conflict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between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Sulphur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Mercaptan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and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Doctor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Test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results,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Sulphur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Mercaptan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shall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prevail.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before="1" w:line="195" w:lineRule="exact"/>
        <w:ind w:hanging="215"/>
        <w:rPr>
          <w:sz w:val="16"/>
        </w:rPr>
      </w:pPr>
      <w:r>
        <w:rPr>
          <w:color w:val="231F1F"/>
          <w:sz w:val="16"/>
        </w:rPr>
        <w:t>When testing by method D 56, a minimum Flash Point of 40ºC</w:t>
      </w:r>
      <w:r>
        <w:rPr>
          <w:color w:val="231F1F"/>
          <w:spacing w:val="-19"/>
          <w:sz w:val="16"/>
        </w:rPr>
        <w:t xml:space="preserve"> </w:t>
      </w:r>
      <w:r>
        <w:rPr>
          <w:color w:val="231F1F"/>
          <w:sz w:val="16"/>
        </w:rPr>
        <w:t>applies.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line="194" w:lineRule="exact"/>
        <w:ind w:hanging="215"/>
        <w:rPr>
          <w:sz w:val="16"/>
        </w:rPr>
      </w:pPr>
      <w:r>
        <w:rPr>
          <w:color w:val="231F1F"/>
          <w:sz w:val="16"/>
        </w:rPr>
        <w:t>Lower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freezing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point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may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be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agreed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between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customer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&amp;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producer.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line="195" w:lineRule="exact"/>
        <w:ind w:hanging="215"/>
        <w:rPr>
          <w:sz w:val="16"/>
        </w:rPr>
      </w:pPr>
      <w:r>
        <w:rPr>
          <w:color w:val="231F1F"/>
          <w:sz w:val="16"/>
        </w:rPr>
        <w:t>When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determining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the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Net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Heat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of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Combustion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by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ASTM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D4529,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use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equation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1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or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Table</w:t>
      </w:r>
      <w:r>
        <w:rPr>
          <w:color w:val="231F1F"/>
          <w:spacing w:val="-6"/>
          <w:sz w:val="16"/>
        </w:rPr>
        <w:t xml:space="preserve"> </w:t>
      </w:r>
      <w:r>
        <w:rPr>
          <w:color w:val="231F1F"/>
          <w:sz w:val="16"/>
        </w:rPr>
        <w:t>1,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and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when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using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D3338,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use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equation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2.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line="195" w:lineRule="exact"/>
        <w:ind w:hanging="215"/>
        <w:rPr>
          <w:sz w:val="16"/>
        </w:rPr>
      </w:pPr>
      <w:r>
        <w:rPr>
          <w:color w:val="231F1F"/>
          <w:sz w:val="16"/>
        </w:rPr>
        <w:t xml:space="preserve">No peacock </w:t>
      </w:r>
      <w:r>
        <w:rPr>
          <w:color w:val="231F1F"/>
          <w:spacing w:val="-3"/>
          <w:sz w:val="16"/>
        </w:rPr>
        <w:t xml:space="preserve">or </w:t>
      </w:r>
      <w:r>
        <w:rPr>
          <w:color w:val="231F1F"/>
          <w:sz w:val="16"/>
        </w:rPr>
        <w:t xml:space="preserve">abnormal </w:t>
      </w:r>
      <w:proofErr w:type="spellStart"/>
      <w:r>
        <w:rPr>
          <w:color w:val="231F1F"/>
          <w:sz w:val="16"/>
        </w:rPr>
        <w:t>colour</w:t>
      </w:r>
      <w:proofErr w:type="spellEnd"/>
      <w:r>
        <w:rPr>
          <w:color w:val="231F1F"/>
          <w:sz w:val="16"/>
        </w:rPr>
        <w:t xml:space="preserve"> deposits</w:t>
      </w:r>
      <w:r>
        <w:rPr>
          <w:color w:val="231F1F"/>
          <w:spacing w:val="-14"/>
          <w:sz w:val="16"/>
        </w:rPr>
        <w:t xml:space="preserve"> </w:t>
      </w:r>
      <w:r>
        <w:rPr>
          <w:color w:val="231F1F"/>
          <w:sz w:val="16"/>
        </w:rPr>
        <w:t>allowed.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line="195" w:lineRule="exact"/>
        <w:ind w:hanging="215"/>
        <w:rPr>
          <w:sz w:val="16"/>
        </w:rPr>
      </w:pPr>
      <w:r>
        <w:rPr>
          <w:color w:val="231F1F"/>
          <w:sz w:val="16"/>
        </w:rPr>
        <w:t xml:space="preserve">Air can be used instead of steam as the </w:t>
      </w:r>
      <w:proofErr w:type="spellStart"/>
      <w:r>
        <w:rPr>
          <w:color w:val="231F1F"/>
          <w:sz w:val="16"/>
        </w:rPr>
        <w:t>vaporising</w:t>
      </w:r>
      <w:proofErr w:type="spellEnd"/>
      <w:r>
        <w:rPr>
          <w:color w:val="231F1F"/>
          <w:spacing w:val="-25"/>
          <w:sz w:val="16"/>
        </w:rPr>
        <w:t xml:space="preserve"> </w:t>
      </w:r>
      <w:r>
        <w:rPr>
          <w:color w:val="231F1F"/>
          <w:sz w:val="16"/>
        </w:rPr>
        <w:t>agent.</w:t>
      </w:r>
    </w:p>
    <w:p w:rsidR="00B1404C" w:rsidRDefault="00B1404C" w:rsidP="00B1404C">
      <w:pPr>
        <w:numPr>
          <w:ilvl w:val="0"/>
          <w:numId w:val="1"/>
        </w:numPr>
        <w:tabs>
          <w:tab w:val="left" w:pos="328"/>
        </w:tabs>
        <w:spacing w:before="2" w:line="195" w:lineRule="exact"/>
        <w:ind w:hanging="215"/>
        <w:rPr>
          <w:sz w:val="16"/>
        </w:rPr>
      </w:pPr>
      <w:r>
        <w:rPr>
          <w:color w:val="231F1F"/>
          <w:sz w:val="16"/>
        </w:rPr>
        <w:t>Applies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at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point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of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manufacture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if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fuel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contains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&gt;95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%</w:t>
      </w:r>
      <w:r>
        <w:rPr>
          <w:color w:val="231F1F"/>
          <w:spacing w:val="-3"/>
          <w:sz w:val="16"/>
        </w:rPr>
        <w:t xml:space="preserve"> </w:t>
      </w:r>
      <w:proofErr w:type="spellStart"/>
      <w:r>
        <w:rPr>
          <w:color w:val="231F1F"/>
          <w:sz w:val="16"/>
        </w:rPr>
        <w:t>hydroprocessed</w:t>
      </w:r>
      <w:proofErr w:type="spellEnd"/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material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of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which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&gt;20%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has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been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severely</w:t>
      </w:r>
      <w:r>
        <w:rPr>
          <w:color w:val="231F1F"/>
          <w:spacing w:val="-4"/>
          <w:sz w:val="16"/>
        </w:rPr>
        <w:t xml:space="preserve"> </w:t>
      </w:r>
      <w:proofErr w:type="spellStart"/>
      <w:r>
        <w:rPr>
          <w:color w:val="231F1F"/>
          <w:sz w:val="16"/>
        </w:rPr>
        <w:t>hydroprocessed</w:t>
      </w:r>
      <w:proofErr w:type="spellEnd"/>
      <w:r>
        <w:rPr>
          <w:color w:val="231F1F"/>
          <w:sz w:val="16"/>
        </w:rPr>
        <w:t>.</w:t>
      </w:r>
    </w:p>
    <w:p w:rsidR="00B1404C" w:rsidRDefault="00B1404C" w:rsidP="00B1404C">
      <w:pPr>
        <w:numPr>
          <w:ilvl w:val="0"/>
          <w:numId w:val="1"/>
        </w:numPr>
        <w:tabs>
          <w:tab w:val="left" w:pos="410"/>
        </w:tabs>
        <w:spacing w:line="194" w:lineRule="exact"/>
        <w:ind w:left="409" w:hanging="297"/>
        <w:rPr>
          <w:sz w:val="16"/>
        </w:rPr>
      </w:pPr>
      <w:r>
        <w:rPr>
          <w:color w:val="231F1F"/>
          <w:sz w:val="16"/>
        </w:rPr>
        <w:t>Maximum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initial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doping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is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3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mg/L.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Upon</w:t>
      </w:r>
      <w:r>
        <w:rPr>
          <w:color w:val="231F1F"/>
          <w:spacing w:val="-3"/>
          <w:sz w:val="16"/>
        </w:rPr>
        <w:t xml:space="preserve"> </w:t>
      </w:r>
      <w:proofErr w:type="spellStart"/>
      <w:r>
        <w:rPr>
          <w:color w:val="231F1F"/>
          <w:sz w:val="16"/>
        </w:rPr>
        <w:t>redoping</w:t>
      </w:r>
      <w:proofErr w:type="spellEnd"/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the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fuel,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the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maximum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allowed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cumulative</w:t>
      </w:r>
      <w:r>
        <w:rPr>
          <w:color w:val="231F1F"/>
          <w:spacing w:val="-6"/>
          <w:sz w:val="16"/>
        </w:rPr>
        <w:t xml:space="preserve"> </w:t>
      </w:r>
      <w:r>
        <w:rPr>
          <w:color w:val="231F1F"/>
          <w:sz w:val="16"/>
        </w:rPr>
        <w:t>concentration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is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5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mg/L.</w:t>
      </w:r>
    </w:p>
    <w:p w:rsidR="00B1404C" w:rsidRDefault="00B1404C" w:rsidP="00B1404C">
      <w:pPr>
        <w:numPr>
          <w:ilvl w:val="0"/>
          <w:numId w:val="1"/>
        </w:numPr>
        <w:tabs>
          <w:tab w:val="left" w:pos="408"/>
        </w:tabs>
        <w:spacing w:line="195" w:lineRule="exact"/>
        <w:ind w:left="407" w:hanging="295"/>
        <w:rPr>
          <w:sz w:val="16"/>
        </w:rPr>
      </w:pPr>
      <w:proofErr w:type="spellStart"/>
      <w:r>
        <w:rPr>
          <w:color w:val="231F1F"/>
          <w:sz w:val="16"/>
        </w:rPr>
        <w:t>Hitec</w:t>
      </w:r>
      <w:proofErr w:type="spellEnd"/>
      <w:r>
        <w:rPr>
          <w:color w:val="231F1F"/>
          <w:sz w:val="16"/>
        </w:rPr>
        <w:t xml:space="preserve"> 580 may be injected at 15 - 23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mg/L.</w:t>
      </w:r>
    </w:p>
    <w:p w:rsidR="00991F44" w:rsidRDefault="00991F44">
      <w:pPr>
        <w:pStyle w:val="Textoindependiente"/>
        <w:spacing w:before="5"/>
        <w:rPr>
          <w:b/>
          <w:sz w:val="6"/>
        </w:rPr>
      </w:pPr>
    </w:p>
    <w:sectPr w:rsidR="00991F44">
      <w:type w:val="continuous"/>
      <w:pgSz w:w="11900" w:h="16840"/>
      <w:pgMar w:top="760" w:right="460" w:bottom="280" w:left="1040" w:header="720" w:footer="720" w:gutter="0"/>
      <w:pgBorders w:offsetFrom="page">
        <w:top w:val="single" w:sz="24" w:space="20" w:color="75913B"/>
        <w:left w:val="single" w:sz="24" w:space="24" w:color="75913B"/>
        <w:bottom w:val="single" w:sz="24" w:space="23" w:color="75913B"/>
        <w:right w:val="single" w:sz="24" w:space="14" w:color="75913B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C5D2C"/>
    <w:multiLevelType w:val="hybridMultilevel"/>
    <w:tmpl w:val="69B4B1F6"/>
    <w:lvl w:ilvl="0" w:tplc="CC80F3A4">
      <w:start w:val="1"/>
      <w:numFmt w:val="decimal"/>
      <w:lvlText w:val="(%1)"/>
      <w:lvlJc w:val="left"/>
      <w:pPr>
        <w:ind w:left="327" w:hanging="216"/>
        <w:jc w:val="left"/>
      </w:pPr>
      <w:rPr>
        <w:rFonts w:ascii="Calibri" w:eastAsia="Calibri" w:hAnsi="Calibri" w:cs="Calibri" w:hint="default"/>
        <w:color w:val="231F1F"/>
        <w:spacing w:val="-1"/>
        <w:w w:val="100"/>
        <w:sz w:val="16"/>
        <w:szCs w:val="16"/>
      </w:rPr>
    </w:lvl>
    <w:lvl w:ilvl="1" w:tplc="6DA26B8C">
      <w:numFmt w:val="bullet"/>
      <w:lvlText w:val="•"/>
      <w:lvlJc w:val="left"/>
      <w:pPr>
        <w:ind w:left="1305" w:hanging="216"/>
      </w:pPr>
      <w:rPr>
        <w:rFonts w:hint="default"/>
      </w:rPr>
    </w:lvl>
    <w:lvl w:ilvl="2" w:tplc="4CFA8158">
      <w:numFmt w:val="bullet"/>
      <w:lvlText w:val="•"/>
      <w:lvlJc w:val="left"/>
      <w:pPr>
        <w:ind w:left="2291" w:hanging="216"/>
      </w:pPr>
      <w:rPr>
        <w:rFonts w:hint="default"/>
      </w:rPr>
    </w:lvl>
    <w:lvl w:ilvl="3" w:tplc="B1EE8BFA">
      <w:numFmt w:val="bullet"/>
      <w:lvlText w:val="•"/>
      <w:lvlJc w:val="left"/>
      <w:pPr>
        <w:ind w:left="3277" w:hanging="216"/>
      </w:pPr>
      <w:rPr>
        <w:rFonts w:hint="default"/>
      </w:rPr>
    </w:lvl>
    <w:lvl w:ilvl="4" w:tplc="9E409DCC">
      <w:numFmt w:val="bullet"/>
      <w:lvlText w:val="•"/>
      <w:lvlJc w:val="left"/>
      <w:pPr>
        <w:ind w:left="4262" w:hanging="216"/>
      </w:pPr>
      <w:rPr>
        <w:rFonts w:hint="default"/>
      </w:rPr>
    </w:lvl>
    <w:lvl w:ilvl="5" w:tplc="0160237C">
      <w:numFmt w:val="bullet"/>
      <w:lvlText w:val="•"/>
      <w:lvlJc w:val="left"/>
      <w:pPr>
        <w:ind w:left="5248" w:hanging="216"/>
      </w:pPr>
      <w:rPr>
        <w:rFonts w:hint="default"/>
      </w:rPr>
    </w:lvl>
    <w:lvl w:ilvl="6" w:tplc="91B8B65E">
      <w:numFmt w:val="bullet"/>
      <w:lvlText w:val="•"/>
      <w:lvlJc w:val="left"/>
      <w:pPr>
        <w:ind w:left="6234" w:hanging="216"/>
      </w:pPr>
      <w:rPr>
        <w:rFonts w:hint="default"/>
      </w:rPr>
    </w:lvl>
    <w:lvl w:ilvl="7" w:tplc="D78EF19C">
      <w:numFmt w:val="bullet"/>
      <w:lvlText w:val="•"/>
      <w:lvlJc w:val="left"/>
      <w:pPr>
        <w:ind w:left="7219" w:hanging="216"/>
      </w:pPr>
      <w:rPr>
        <w:rFonts w:hint="default"/>
      </w:rPr>
    </w:lvl>
    <w:lvl w:ilvl="8" w:tplc="9D845B1E">
      <w:numFmt w:val="bullet"/>
      <w:lvlText w:val="•"/>
      <w:lvlJc w:val="left"/>
      <w:pPr>
        <w:ind w:left="8205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F44"/>
    <w:rsid w:val="004F720D"/>
    <w:rsid w:val="00991F44"/>
    <w:rsid w:val="00B1404C"/>
    <w:rsid w:val="00DB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3F4CD62-3B48-493D-907A-6C97E1DF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LOI-312-122015--JET A1 (PJAAV00)-JetFuel Type A1-Llorens.pdf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LOI-312-122015--JET A1 (PJAAV00)-JetFuel Type A1-Llorens.pdf</dc:title>
  <dc:creator>Llorens4</dc:creator>
  <cp:keywords>()</cp:keywords>
  <cp:lastModifiedBy>Jose Casas</cp:lastModifiedBy>
  <cp:revision>2</cp:revision>
  <dcterms:created xsi:type="dcterms:W3CDTF">2019-04-13T15:51:00Z</dcterms:created>
  <dcterms:modified xsi:type="dcterms:W3CDTF">2019-04-13T15:51:00Z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2017-03-12T00:00:00Z</vt:filetime>
  </property>
</Properties>
</file>